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r>
        <w:t/>
      </w:r>
      <w:r>
        <w:rPr>
          <w:b w:val="true"/>
        </w:rPr>
        <w:t xml:space="preserve">Table 1. Predicted probabilities and marginal effects</w:t>
      </w:r>
    </w:p>
    <w:tbl>
      <w:tblPr>
        <w:tblStyle w:val="TableGrid"/>
        <w:tblW w:w="0" w:type="auto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Primary balance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h=0.10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h=0.15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T≥30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M = int(T/8)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M = int(T/12)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yit ~ 2±-year window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yit ~ entire episode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Probability without fiscal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0.06***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0.06***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0.07***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0.10***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0.04***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0.10***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0.04***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(0.01)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Probability with fiscal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0.15***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0.12***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0.15***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0.18***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0.19***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0.10***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0.21***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0.12***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Marginal effect fiscal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0.09***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0.07***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0.08***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0.11***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0.09***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0.11***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0.08***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</w:tr>
    </w:tbl>
    <w:p>
      <w:r>
        <w:t/>
      </w:r>
    </w:p>
    <w:p>
      <w:r>
        <w:t/>
      </w:r>
      <w:r>
        <w:t xml:space="preserve">Robust standard errors in parentheses.</w:t>
      </w:r>
    </w:p>
    <w:p>
      <w:r>
        <w:t/>
      </w:r>
      <w:r>
        <w:t xml:space="preserve">*** p&lt;0.01, ** p&lt;0.05, * p&lt;0.10</w:t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